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81" w:type="pct"/>
        <w:jc w:val="center"/>
        <w:tblCellMar>
          <w:left w:w="0" w:type="dxa"/>
          <w:right w:w="0" w:type="dxa"/>
        </w:tblCellMar>
        <w:tblLook w:val="04A0" w:firstRow="1" w:lastRow="0" w:firstColumn="1" w:lastColumn="0" w:noHBand="0" w:noVBand="1"/>
      </w:tblPr>
      <w:tblGrid>
        <w:gridCol w:w="3690"/>
        <w:gridCol w:w="5528"/>
      </w:tblGrid>
      <w:tr w:rsidR="00402CCF" w:rsidRPr="00402CCF" w14:paraId="53457A64" w14:textId="77777777" w:rsidTr="004D788C">
        <w:trPr>
          <w:trHeight w:val="915"/>
          <w:jc w:val="center"/>
        </w:trPr>
        <w:tc>
          <w:tcPr>
            <w:tcW w:w="3690" w:type="dxa"/>
            <w:tcMar>
              <w:top w:w="45" w:type="dxa"/>
              <w:left w:w="45" w:type="dxa"/>
              <w:bottom w:w="45" w:type="dxa"/>
              <w:right w:w="45" w:type="dxa"/>
            </w:tcMar>
            <w:hideMark/>
          </w:tcPr>
          <w:p w14:paraId="3B3869C5" w14:textId="33F94548" w:rsidR="00402CCF" w:rsidRPr="00402CCF" w:rsidRDefault="00402CCF" w:rsidP="00402CCF">
            <w:pPr>
              <w:jc w:val="center"/>
              <w:rPr>
                <w:rFonts w:ascii="Times New Roman" w:hAnsi="Times New Roman" w:cs="Times New Roman"/>
                <w:sz w:val="26"/>
                <w:szCs w:val="26"/>
              </w:rPr>
            </w:pPr>
            <w:bookmarkStart w:id="0" w:name="_GoBack"/>
            <w:bookmarkEnd w:id="0"/>
            <w:r>
              <w:rPr>
                <w:rFonts w:ascii="Times New Roman" w:hAnsi="Times New Roman" w:cs="Times New Roman"/>
                <w:b/>
                <w:bCs/>
                <w:sz w:val="26"/>
                <w:szCs w:val="26"/>
              </w:rPr>
              <w:t>SỞ TÀI CHÍNH THÀNH PHỐ HÀ NỘI</w:t>
            </w:r>
            <w:r>
              <w:rPr>
                <w:rFonts w:ascii="Times New Roman" w:hAnsi="Times New Roman" w:cs="Times New Roman"/>
                <w:sz w:val="26"/>
                <w:szCs w:val="26"/>
              </w:rPr>
              <w:br/>
            </w:r>
            <w:r>
              <w:rPr>
                <w:rFonts w:ascii="Times New Roman" w:hAnsi="Times New Roman" w:cs="Times New Roman"/>
                <w:sz w:val="26"/>
                <w:szCs w:val="26"/>
                <w:vertAlign w:val="superscript"/>
              </w:rPr>
              <w:t>__________</w:t>
            </w:r>
          </w:p>
        </w:tc>
        <w:tc>
          <w:tcPr>
            <w:tcW w:w="5528" w:type="dxa"/>
            <w:tcMar>
              <w:top w:w="45" w:type="dxa"/>
              <w:left w:w="45" w:type="dxa"/>
              <w:bottom w:w="45" w:type="dxa"/>
              <w:right w:w="45" w:type="dxa"/>
            </w:tcMar>
            <w:hideMark/>
          </w:tcPr>
          <w:p w14:paraId="7E3E6D40" w14:textId="77777777" w:rsidR="00402CCF" w:rsidRPr="00402CCF" w:rsidRDefault="00402CCF" w:rsidP="00402CCF">
            <w:pPr>
              <w:jc w:val="center"/>
              <w:rPr>
                <w:rFonts w:ascii="Times New Roman" w:hAnsi="Times New Roman" w:cs="Times New Roman"/>
                <w:sz w:val="26"/>
                <w:szCs w:val="26"/>
              </w:rPr>
            </w:pPr>
            <w:r>
              <w:rPr>
                <w:rFonts w:ascii="Times New Roman" w:hAnsi="Times New Roman" w:cs="Times New Roman"/>
                <w:b/>
                <w:bCs/>
                <w:sz w:val="26"/>
                <w:szCs w:val="26"/>
              </w:rPr>
              <w:t>CỘNG HÒA XÃ HỘI CHỦ NGHĨA VIỆT NAM</w:t>
            </w:r>
            <w:r>
              <w:rPr>
                <w:rFonts w:ascii="Times New Roman" w:hAnsi="Times New Roman" w:cs="Times New Roman"/>
                <w:b/>
                <w:bCs/>
                <w:sz w:val="26"/>
                <w:szCs w:val="26"/>
              </w:rPr>
              <w:br/>
            </w:r>
            <w:r>
              <w:rPr>
                <w:rFonts w:ascii="Times New Roman" w:hAnsi="Times New Roman" w:cs="Times New Roman"/>
                <w:b/>
                <w:bCs/>
                <w:sz w:val="28"/>
                <w:szCs w:val="28"/>
              </w:rPr>
              <w:t>Độc lập - Tự do - Hạnh phúc</w:t>
            </w:r>
            <w:r>
              <w:rPr>
                <w:rFonts w:ascii="Times New Roman" w:hAnsi="Times New Roman" w:cs="Times New Roman"/>
                <w:sz w:val="28"/>
                <w:szCs w:val="28"/>
              </w:rPr>
              <w:br/>
            </w:r>
            <w:r>
              <w:rPr>
                <w:rFonts w:ascii="Times New Roman" w:hAnsi="Times New Roman" w:cs="Times New Roman"/>
                <w:sz w:val="26"/>
                <w:szCs w:val="26"/>
                <w:vertAlign w:val="superscript"/>
              </w:rPr>
              <w:t>______________________</w:t>
            </w:r>
          </w:p>
          <w:p w14:paraId="3BF2236A" w14:textId="39D570BC" w:rsidR="00402CCF" w:rsidRPr="00402CCF" w:rsidRDefault="00402CCF" w:rsidP="003D016C">
            <w:pPr>
              <w:jc w:val="center"/>
              <w:rPr>
                <w:rFonts w:ascii="Times New Roman" w:hAnsi="Times New Roman" w:cs="Times New Roman"/>
                <w:sz w:val="26"/>
                <w:szCs w:val="26"/>
              </w:rPr>
            </w:pPr>
            <w:r>
              <w:rPr>
                <w:rFonts w:ascii="Times New Roman" w:hAnsi="Times New Roman" w:cs="Times New Roman"/>
                <w:i/>
                <w:iCs/>
                <w:sz w:val="26"/>
                <w:szCs w:val="26"/>
              </w:rPr>
              <w:t>Hà Nội, ngày         tháng 5 năm 2026</w:t>
            </w:r>
          </w:p>
        </w:tc>
      </w:tr>
    </w:tbl>
    <w:p w14:paraId="4BD1D400" w14:textId="77777777" w:rsidR="00402CCF" w:rsidRPr="008C1B32" w:rsidRDefault="00402CCF" w:rsidP="00402CCF">
      <w:pPr>
        <w:jc w:val="center"/>
        <w:rPr>
          <w:rFonts w:ascii="Times New Roman Bold" w:hAnsi="Times New Roman Bold" w:cs="Times New Roman"/>
          <w:b/>
          <w:bCs/>
          <w:spacing w:val="-12"/>
          <w:sz w:val="28"/>
          <w:szCs w:val="28"/>
        </w:rPr>
      </w:pPr>
      <w:r>
        <w:rPr>
          <w:rFonts w:ascii="Times New Roman Bold" w:hAnsi="Times New Roman Bold" w:cs="Times New Roman"/>
          <w:b/>
          <w:bCs/>
          <w:spacing w:val="-12"/>
          <w:sz w:val="28"/>
          <w:szCs w:val="28"/>
        </w:rPr>
        <w:t xml:space="preserve">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THẢO </w:t>
      </w:r>
    </w:p>
    <w:p w14:paraId="370E7DD1" w14:textId="40633AFF" w:rsidR="00402CCF" w:rsidRPr="008C1B32" w:rsidRDefault="00402CCF" w:rsidP="00402CCF">
      <w:pPr>
        <w:spacing w:after="0"/>
        <w:jc w:val="center"/>
        <w:rPr>
          <w:rFonts w:ascii="Times New Roman" w:hAnsi="Times New Roman" w:cs="Times New Roman"/>
          <w:sz w:val="28"/>
          <w:szCs w:val="28"/>
        </w:rPr>
      </w:pPr>
      <w:r>
        <w:rPr>
          <w:rFonts w:ascii="Times New Roman" w:hAnsi="Times New Roman" w:cs="Times New Roman"/>
          <w:sz w:val="28"/>
          <w:szCs w:val="28"/>
        </w:rPr>
        <w:t xml:space="preserve">NGHỊ QUYẾT QUY ĐỊNH VỀ </w:t>
      </w:r>
      <w:r w:rsidR="002505F7" w:rsidRPr="002505F7">
        <w:rPr>
          <w:rFonts w:ascii="Times New Roman" w:hAnsi="Times New Roman" w:cs="Times New Roman"/>
          <w:sz w:val="28"/>
          <w:szCs w:val="28"/>
        </w:rPr>
        <w:t>QUYẾT ĐỊNH, CHẤP THUẬN CHỦ TRƯƠNG ĐẦU TƯ VÀ ĐIỀU CHỈNH CHỦ TRƯƠNG ĐẦU TƯ; LỰA CHỌN NHÀ ĐẦU TƯ, NHÀ THẦU TRONG TRƯỜNG HỢP ĐẶC BIỆT; VIỆC XÁC ĐỊNH DỰ ÁN CẦN TRIỂN KHAI NGAY TRÊN ĐỊA BÀN THÀNH PHỐ HÀ NỘI</w:t>
      </w:r>
      <w:r w:rsidR="002505F7">
        <w:rPr>
          <w:rFonts w:ascii="Times New Roman" w:hAnsi="Times New Roman" w:cs="Times New Roman"/>
          <w:sz w:val="28"/>
          <w:szCs w:val="28"/>
        </w:rPr>
        <w:t xml:space="preserve"> </w:t>
      </w:r>
    </w:p>
    <w:p w14:paraId="546697FD" w14:textId="270EE065" w:rsidR="00402CCF" w:rsidRPr="00402CCF" w:rsidRDefault="00402CCF" w:rsidP="00402CCF">
      <w:pPr>
        <w:jc w:val="center"/>
        <w:rPr>
          <w:rFonts w:ascii="Times New Roman" w:hAnsi="Times New Roman" w:cs="Times New Roman"/>
          <w:i/>
          <w:iCs/>
          <w:sz w:val="28"/>
          <w:szCs w:val="28"/>
        </w:rPr>
      </w:pPr>
      <w:r>
        <w:rPr>
          <w:rFonts w:ascii="Times New Roman" w:hAnsi="Times New Roman" w:cs="Times New Roman"/>
          <w:i/>
          <w:iCs/>
          <w:sz w:val="28"/>
          <w:szCs w:val="28"/>
        </w:rPr>
        <w:t>(Thực hiện điểm a, b, d khoản 5 Điều 22 của Luật Thủ đô số 02/2026/QH16)</w:t>
      </w:r>
    </w:p>
    <w:p w14:paraId="47C6B47A" w14:textId="21B4530F" w:rsidR="00402CCF" w:rsidRPr="00402CCF" w:rsidRDefault="00402CCF"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Thực hiện quy định của Luật Ban hành văn bản quy phạm pháp luật, Sở Tài chính 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án, dự thảo Nghị quyết </w:t>
      </w:r>
      <w:r w:rsidR="002505F7">
        <w:rPr>
          <w:rFonts w:ascii="Times New Roman" w:hAnsi="Times New Roman" w:cs="Times New Roman"/>
          <w:sz w:val="28"/>
          <w:szCs w:val="28"/>
        </w:rPr>
        <w:t>q</w:t>
      </w:r>
      <w:r>
        <w:rPr>
          <w:rFonts w:ascii="Times New Roman" w:hAnsi="Times New Roman" w:cs="Times New Roman"/>
          <w:sz w:val="28"/>
          <w:szCs w:val="28"/>
        </w:rPr>
        <w:t xml:space="preserve">uy định về </w:t>
      </w:r>
      <w:r w:rsidR="002505F7" w:rsidRPr="002505F7">
        <w:rPr>
          <w:rFonts w:ascii="Times New Roman" w:hAnsi="Times New Roman" w:cs="Times New Roman"/>
          <w:sz w:val="28"/>
          <w:szCs w:val="28"/>
        </w:rPr>
        <w:t>quyết định, chấp thuận chủ trương đầu tư và điều chỉnh chủ trương đầu tư; lựa chọn nhà đầu tư, nhà thầu trong trường hợp đặc biệt; việc xác định dự án cần triển khai ngay trên địa bàn thành phố Hà Nội</w:t>
      </w:r>
      <w:r>
        <w:rPr>
          <w:rFonts w:ascii="Times New Roman" w:hAnsi="Times New Roman" w:cs="Times New Roman"/>
          <w:sz w:val="28"/>
          <w:szCs w:val="28"/>
        </w:rPr>
        <w:t>. Kết quả như sau:</w:t>
      </w:r>
    </w:p>
    <w:p w14:paraId="2D067766" w14:textId="77777777" w:rsidR="00402CCF" w:rsidRPr="00402CCF" w:rsidRDefault="00402CCF" w:rsidP="009440E3">
      <w:pPr>
        <w:spacing w:before="60" w:after="0" w:line="240" w:lineRule="auto"/>
        <w:ind w:left="567"/>
        <w:jc w:val="both"/>
        <w:rPr>
          <w:rFonts w:ascii="Times New Roman" w:hAnsi="Times New Roman" w:cs="Times New Roman"/>
          <w:sz w:val="28"/>
          <w:szCs w:val="28"/>
        </w:rPr>
      </w:pPr>
      <w:r>
        <w:rPr>
          <w:rFonts w:ascii="Times New Roman" w:hAnsi="Times New Roman" w:cs="Times New Roman"/>
          <w:b/>
          <w:bCs/>
          <w:sz w:val="28"/>
          <w:szCs w:val="28"/>
        </w:rPr>
        <w:t>I. TỔ CHỨC THỰC HIỆN ĐÁNH GIÁ</w:t>
      </w:r>
    </w:p>
    <w:p w14:paraId="6C1F5E0B" w14:textId="77777777" w:rsidR="00402CCF" w:rsidRPr="00402CCF" w:rsidRDefault="00402CCF" w:rsidP="009440E3">
      <w:pPr>
        <w:spacing w:before="60" w:after="0" w:line="240" w:lineRule="auto"/>
        <w:ind w:left="567"/>
        <w:jc w:val="both"/>
        <w:rPr>
          <w:rFonts w:ascii="Times New Roman" w:hAnsi="Times New Roman" w:cs="Times New Roman"/>
          <w:sz w:val="28"/>
          <w:szCs w:val="28"/>
        </w:rPr>
      </w:pPr>
      <w:r>
        <w:rPr>
          <w:rFonts w:ascii="Times New Roman" w:hAnsi="Times New Roman" w:cs="Times New Roman"/>
          <w:b/>
          <w:bCs/>
          <w:sz w:val="28"/>
          <w:szCs w:val="28"/>
        </w:rPr>
        <w:t>1. Bối cảnh xây dựng dự án, dự thảo văn bản quy phạm pháp luật</w:t>
      </w:r>
    </w:p>
    <w:p w14:paraId="360E5D4A" w14:textId="77777777" w:rsidR="008C1B32" w:rsidRPr="008C1B32" w:rsidRDefault="008C1B32" w:rsidP="009440E3">
      <w:pPr>
        <w:widowControl w:val="0"/>
        <w:shd w:val="clear" w:color="auto" w:fill="FFFFFF"/>
        <w:spacing w:before="60" w:after="0" w:line="240" w:lineRule="auto"/>
        <w:ind w:firstLine="567"/>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Luật Thủ đô năm 2026 được Quốc hội thông qua, có hiệu lực từ ngày 01/7/2026, đã thiết lập khuôn khổ pháp lý mới với nhiều cơ chế, chính sách đặc thù, phân quyền mạnh mẽ cho chính quyền Thành phố Hà Nội trong quản lý đầu tư, phát triển đô thị. Tuy nhiên, Luật chỉ quy định mang tính nguyên tắc, đồng thời giao Hội đồng nhân dân Thành phố quy định chi tiết về hồ sơ, nội dung thẩm định, trình tự, thủ tục quyết định, chấp thuận chủ trương đầu tư và điều chỉnh chủ trương đầu tư; tiêu chí, điều kiện, trình tự, thủ tục lựa chọn nhà đầu tư, nhà thầu trong trường hợp đặc biệt; tiêu chí, điều kiện, trình tự, thủ tục xác định dự án cần triển khai ngay trên địa bàn thành phố Hà Nội. Đây là nội dung cốt lõi, có phạm vi tác động rộng, liên quan trực tiếp đến công tác quản lý nhà nước về đầu tư và môi trường thu hút đầu tư của Thành phố.</w:t>
      </w:r>
    </w:p>
    <w:p w14:paraId="601DB5F9" w14:textId="77777777" w:rsidR="008C1B32" w:rsidRPr="008C1B32" w:rsidRDefault="008C1B32" w:rsidP="009440E3">
      <w:pPr>
        <w:widowControl w:val="0"/>
        <w:shd w:val="clear" w:color="auto" w:fill="FFFFFF"/>
        <w:spacing w:before="60" w:after="0" w:line="240" w:lineRule="auto"/>
        <w:ind w:firstLine="567"/>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Trong khi đó, Nghị quyết số 31/2025/NQ-HĐND, văn bản hiện hành đang điều chỉnh nội dung này sẽ hết hiệu lực kể từ thời điểm Luật Thủ đô năm 2026 có hiệu lực thi hành. Nếu không kịp thời ban hành quy định thay thế, sẽ phát sinh khoảng trống pháp lý, gây gián đoạn trong quá trình tiếp nhận, thẩm định, quyết định chủ trương đầu tư và xử lý các thủ tục liên quan; đồng thời ảnh hưởng đến tiến độ triển khai các dự án, làm giảm tính chủ động, linh hoạt của chính quyền </w:t>
      </w:r>
      <w:r>
        <w:rPr>
          <w:rFonts w:ascii="Times New Roman" w:eastAsia="Times New Roman" w:hAnsi="Times New Roman" w:cs="Times New Roman"/>
          <w:sz w:val="28"/>
          <w:szCs w:val="28"/>
          <w:lang w:val="nl-NL"/>
        </w:rPr>
        <w:lastRenderedPageBreak/>
        <w:t>Thành phố theo tinh thần phân quyền của Luật mới.</w:t>
      </w:r>
    </w:p>
    <w:p w14:paraId="6EDB0658" w14:textId="77777777" w:rsidR="008C1B32" w:rsidRPr="008C1B32" w:rsidRDefault="008C1B32" w:rsidP="009440E3">
      <w:pPr>
        <w:widowControl w:val="0"/>
        <w:shd w:val="clear" w:color="auto" w:fill="FFFFFF"/>
        <w:spacing w:before="60" w:after="0" w:line="240" w:lineRule="auto"/>
        <w:ind w:firstLine="567"/>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Việc xây dựng và ban hành Nghị quyết của Hội đồng nhân dân Thành phố nhằm cụ thể hóa điểm a, b, d khoản 5 Điều 22 Luật Thủ đô năm 2026 vì vậy là yêu cầu cấp thiết, bảo đảm tính liên tục, thống nhất của hệ thống pháp luật; đồng thời tạo lập hành lang pháp lý rõ ràng, minh bạch, cải cách thủ tục hành chính, rút ngắn thời gian xử lý hồ sơ, nâng cao hiệu quả quản lý nhà nước và năng lực cạnh tranh trong thu hút đầu tư của Thủ đô.</w:t>
      </w:r>
    </w:p>
    <w:p w14:paraId="344FE185" w14:textId="1D9769C9" w:rsidR="008C1B32" w:rsidRPr="008C1B32" w:rsidRDefault="008C1B32"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Bên cạnh đó, việc ban hành Nghị quyết cũng là nhiệm vụ đã được xác định trong Kế hoạch số 177/KH-UBND ngày 01/5/2026 của Ủy ban nhân dân Thành phố về tổ chức thi hành Luật Thủ đô. Do đó, việc khẩn trương xây dựng, trình ban hành Nghị quyết không chỉ bảo đảm tuân thủ quy định của Luật mà còn góp phần sớm đưa các cơ chế, chính sách đặc thù vào thực tiễn, đáp ứng yêu cầu phát triển nhanh, bền vững của Thủ đô trong giai đoạn mới.</w:t>
      </w:r>
    </w:p>
    <w:p w14:paraId="0A67AB9C" w14:textId="07B13521" w:rsidR="00402CCF" w:rsidRPr="008C1B32" w:rsidRDefault="00402CCF" w:rsidP="009440E3">
      <w:pPr>
        <w:spacing w:before="60"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 Mục đích, yêu cầu đánh giá</w:t>
      </w:r>
    </w:p>
    <w:p w14:paraId="75477A1A" w14:textId="77777777" w:rsidR="00127A71" w:rsidRDefault="00127A71" w:rsidP="009440E3">
      <w:pPr>
        <w:pStyle w:val="Normal1"/>
        <w:spacing w:before="60"/>
        <w:ind w:firstLine="567"/>
        <w:jc w:val="both"/>
        <w:rPr>
          <w:sz w:val="28"/>
          <w:szCs w:val="28"/>
          <w:lang w:val="nl-NL"/>
        </w:rPr>
      </w:pPr>
      <w:r>
        <w:rPr>
          <w:sz w:val="28"/>
          <w:szCs w:val="28"/>
          <w:lang w:val="nl-NL"/>
        </w:rPr>
        <w:t xml:space="preserve">- Việc đánh giá nhằm xác định mức độ phù hợp, tính cần thiết và hiệu quả của quy định về hồ sơ, điều kiện, trình tự, thủ tục lập, thẩm định, quyết định chủ trương đầu tư, chấp thuận chủ trương đầu tư và điều chỉnh chủ trương đầu tư trong dự thảo Nghị quyết; bảo đảm các quy định được xây dựng tuân thủ đúng chủ trương của Bộ Chính trị, yêu cầu của Nghị quyết Quốc hội về cơ chế đặc thù và các quy định của pháp luật có liên quan. </w:t>
      </w:r>
    </w:p>
    <w:p w14:paraId="522429EF" w14:textId="77777777" w:rsidR="00127A71" w:rsidRDefault="00127A71" w:rsidP="009440E3">
      <w:pPr>
        <w:pStyle w:val="Normal1"/>
        <w:spacing w:before="60"/>
        <w:ind w:firstLine="567"/>
        <w:jc w:val="both"/>
        <w:rPr>
          <w:sz w:val="28"/>
          <w:szCs w:val="28"/>
          <w:lang w:val="nl-NL"/>
        </w:rPr>
      </w:pPr>
      <w:r>
        <w:rPr>
          <w:sz w:val="28"/>
          <w:szCs w:val="28"/>
          <w:lang w:val="nl-NL"/>
        </w:rPr>
        <w:t xml:space="preserve">- Đánh giá nhằm làm rõ tác động đối với thủ tục hành chính, phân cấp, phân quyền, ứng dụng khoa học - công nghệ và chuyển đổi số, bình đẳng giới và chính sách dân tộc, bảo đảm tính khả thi, minh bạch và không phát sinh vướng mắc trong quá trình tổ chức thực hiện. </w:t>
      </w:r>
    </w:p>
    <w:p w14:paraId="5DF84020" w14:textId="5D0F92C5" w:rsidR="00402CCF" w:rsidRPr="00402CCF" w:rsidRDefault="00127A71" w:rsidP="009440E3">
      <w:pPr>
        <w:pStyle w:val="Normal1"/>
        <w:spacing w:before="60"/>
        <w:ind w:firstLine="567"/>
        <w:jc w:val="both"/>
        <w:rPr>
          <w:sz w:val="28"/>
          <w:szCs w:val="28"/>
          <w:lang w:val="nl-NL"/>
        </w:rPr>
      </w:pPr>
      <w:r>
        <w:rPr>
          <w:sz w:val="28"/>
          <w:szCs w:val="28"/>
          <w:lang w:val="nl-NL"/>
        </w:rPr>
        <w:t>- Việc đánh giá phải khách quan, toàn diện, dựa trên cơ sở pháp lý, thực tiễn triển khai các dự án lớn của Thành phố; đồng thời đề xuất các nội dung cần hoàn thiện, bổ sung để bảo đảm Nghị quyết khi ban hành có chất lượng, đáp ứng yêu cầu quản lý nhà nước và mục tiêu đẩy nhanh tiến độ các dự án quan trọng trên địa bàn Thủ đô.</w:t>
      </w:r>
    </w:p>
    <w:p w14:paraId="462F2A75" w14:textId="77777777" w:rsidR="00402CCF" w:rsidRPr="00402CCF" w:rsidRDefault="00402CCF" w:rsidP="009440E3">
      <w:pPr>
        <w:spacing w:before="60"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II. KẾT QUẢ ĐÁNH GIÁ</w:t>
      </w:r>
    </w:p>
    <w:p w14:paraId="1A7C997B" w14:textId="17B90FD8" w:rsidR="00402CCF" w:rsidRPr="00402CCF" w:rsidRDefault="00402CCF" w:rsidP="009440E3">
      <w:pPr>
        <w:spacing w:before="60"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1. Đánh giá thủ tục hành chính </w:t>
      </w:r>
    </w:p>
    <w:p w14:paraId="2FB991CE" w14:textId="4CCB046F" w:rsidR="00127A71" w:rsidRDefault="00127A71"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1.1. Số lượng và tên các thủ tục hành chính được quy định trong dự thảo</w:t>
      </w:r>
    </w:p>
    <w:p w14:paraId="7177AEBD" w14:textId="710B253E" w:rsidR="00730BF5" w:rsidRDefault="00730BF5"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Dự thảo Nghị quyết có 06 thủ tục hành chính và 01 thủ tục ủy quyền quyết định chủ trương đầu tư dự án nhóm B, C dự án đầu tư công. Cụ thể:</w:t>
      </w:r>
    </w:p>
    <w:p w14:paraId="05C33AF9" w14:textId="77777777" w:rsidR="00127A71" w:rsidRPr="00127A71" w:rsidRDefault="00127A71"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Đối với dự án đầu tư công:</w:t>
      </w:r>
    </w:p>
    <w:p w14:paraId="2DBA035A" w14:textId="77777777" w:rsidR="00127A71" w:rsidRPr="00127A71" w:rsidRDefault="00127A71"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Trình tự, thủ tục lập, thẩm định, quyết định chủ trương đầu tư;</w:t>
      </w:r>
    </w:p>
    <w:p w14:paraId="541F6391" w14:textId="77777777" w:rsidR="00127A71" w:rsidRPr="00127A71" w:rsidRDefault="00127A71"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Trình tự, thủ tục điều chỉnh chủ trương đầu tư.</w:t>
      </w:r>
    </w:p>
    <w:p w14:paraId="533BA3A4" w14:textId="77777777" w:rsidR="00127A71" w:rsidRPr="00127A71" w:rsidRDefault="00127A71"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Đối với dự án PPP: </w:t>
      </w:r>
    </w:p>
    <w:p w14:paraId="3201AEFC" w14:textId="77777777" w:rsidR="00127A71" w:rsidRPr="00127A71" w:rsidRDefault="00127A71"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Trình tự, thủ tục lập, thẩm định, quyết định chủ trương đầu tư;</w:t>
      </w:r>
    </w:p>
    <w:p w14:paraId="669D3D03" w14:textId="05A2BC50" w:rsidR="00730BF5" w:rsidRDefault="00127A71"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Trình tự, thủ tục điều chỉnh chủ trương đầu tư.</w:t>
      </w:r>
    </w:p>
    <w:p w14:paraId="71E23647" w14:textId="5881B9C3" w:rsidR="00127A71" w:rsidRDefault="00127A71"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Đối với dự án đầu tư theo quy định của luật đầu tư, dự án thu hút nhà đầu tư chiến lược:</w:t>
      </w:r>
    </w:p>
    <w:p w14:paraId="55CB00F2" w14:textId="77777777" w:rsidR="00127A71" w:rsidRPr="00127A71" w:rsidRDefault="00127A71"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Trình tự, thủ tục lập, thẩm định, quyết định chủ trương đầu tư;</w:t>
      </w:r>
    </w:p>
    <w:p w14:paraId="03C04549" w14:textId="67F03487" w:rsidR="00127A71" w:rsidRDefault="00127A71"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Trình tự, thủ tục điều chỉnh chủ trương đầu tư.</w:t>
      </w:r>
    </w:p>
    <w:p w14:paraId="439BD012" w14:textId="375C8E4D" w:rsidR="00127A71" w:rsidRDefault="00127A71"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Tổng số thủ tục hành chính: 06 thủ tục.</w:t>
      </w:r>
    </w:p>
    <w:p w14:paraId="7D45ACFB" w14:textId="73AFB9D6" w:rsidR="009C52E5" w:rsidRDefault="009C52E5"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1.2. Phân loại các thủ tục hành chính theo tính chất mới, sửa đổi, bổ sung, bãi bỏ, giữ nguyên</w:t>
      </w:r>
    </w:p>
    <w:p w14:paraId="2E5768AD" w14:textId="3C64A851" w:rsidR="009C52E5" w:rsidRDefault="009C52E5"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Thủ tục hành chính dự kiến ban hành mới:</w:t>
      </w:r>
    </w:p>
    <w:p w14:paraId="7C9A038A" w14:textId="52A9A745" w:rsidR="009C52E5" w:rsidRDefault="009C52E5"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Không có thủ tục hành chính ban hành mới</w:t>
      </w:r>
    </w:p>
    <w:p w14:paraId="5FFC843D" w14:textId="441680C9" w:rsidR="009C52E5" w:rsidRDefault="009C52E5"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Thủ tục hành chính được sửa đổi, bổ sung:</w:t>
      </w:r>
    </w:p>
    <w:p w14:paraId="377949F1" w14:textId="2F3D5BEE" w:rsidR="009C52E5" w:rsidRDefault="009C52E5"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Toàn bộ 06 thủ tục nêu trên là thủ tục hành chính hiện hành được sửa đổi, bổ sung từ các văn bản hiện hành</w:t>
      </w:r>
    </w:p>
    <w:p w14:paraId="65F1E505" w14:textId="327418C2" w:rsidR="009C52E5" w:rsidRPr="009C52E5" w:rsidRDefault="009C52E5"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Thủ tục hành chính được bãi bỏ:</w:t>
      </w:r>
    </w:p>
    <w:p w14:paraId="0BEBD36D" w14:textId="77777777" w:rsidR="009C52E5" w:rsidRPr="009C52E5" w:rsidRDefault="009C52E5"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Không có thủ tục hành chính bị bãi bỏ theo dự thảo.</w:t>
      </w:r>
    </w:p>
    <w:p w14:paraId="711AB192" w14:textId="77777777" w:rsidR="009C52E5" w:rsidRPr="009C52E5" w:rsidRDefault="009C52E5"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 Thủ tục hành chính giữ nguyên:</w:t>
      </w:r>
    </w:p>
    <w:p w14:paraId="61765CB0" w14:textId="4132405C" w:rsidR="009C52E5" w:rsidRDefault="009C52E5"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Không có thủ tục hành chính giữ nguyên</w:t>
      </w:r>
    </w:p>
    <w:p w14:paraId="049C9C8D" w14:textId="1C3A79A7" w:rsidR="009C52E5" w:rsidRDefault="009C52E5"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1.3. Đánh giá sự cần thiết</w:t>
      </w:r>
    </w:p>
    <w:p w14:paraId="2F5251C0" w14:textId="77777777" w:rsidR="009C52E5" w:rsidRPr="006D0257" w:rsidRDefault="009C52E5" w:rsidP="009440E3">
      <w:pPr>
        <w:pStyle w:val="Normal1"/>
        <w:spacing w:before="60"/>
        <w:ind w:firstLine="720"/>
        <w:jc w:val="both"/>
        <w:rPr>
          <w:sz w:val="28"/>
          <w:szCs w:val="28"/>
          <w:lang w:val="nl-NL"/>
        </w:rPr>
      </w:pPr>
      <w:r>
        <w:rPr>
          <w:sz w:val="28"/>
          <w:szCs w:val="28"/>
          <w:lang w:val="nl-NL"/>
        </w:rPr>
        <w:t>Việc ban hành các thủ tục hành chính này là cần thiết vì:</w:t>
      </w:r>
    </w:p>
    <w:p w14:paraId="04170F11" w14:textId="404C4C9F" w:rsidR="009C52E5" w:rsidRPr="006D0257" w:rsidRDefault="009C52E5" w:rsidP="009440E3">
      <w:pPr>
        <w:pStyle w:val="Normal1"/>
        <w:spacing w:before="60"/>
        <w:ind w:firstLine="567"/>
        <w:jc w:val="both"/>
        <w:rPr>
          <w:sz w:val="28"/>
          <w:szCs w:val="28"/>
          <w:lang w:val="nl-NL"/>
        </w:rPr>
      </w:pPr>
      <w:r>
        <w:rPr>
          <w:sz w:val="28"/>
          <w:szCs w:val="28"/>
          <w:lang w:val="nl-NL"/>
        </w:rPr>
        <w:t xml:space="preserve"> - Đáp ứng yêu cầu cần thiết nhằm đáp ứng kịp thời nhu cầu thực tiễn trong quản lý, điều hành và phát triển đô thị của Hà Nội.</w:t>
      </w:r>
    </w:p>
    <w:p w14:paraId="03A9AA43" w14:textId="43C578C7" w:rsidR="009C52E5" w:rsidRPr="006D0257" w:rsidRDefault="009C52E5" w:rsidP="009440E3">
      <w:pPr>
        <w:pStyle w:val="Normal1"/>
        <w:spacing w:before="60"/>
        <w:ind w:firstLine="567"/>
        <w:jc w:val="both"/>
        <w:rPr>
          <w:sz w:val="28"/>
          <w:szCs w:val="28"/>
          <w:lang w:val="nl-NL"/>
        </w:rPr>
      </w:pPr>
      <w:r>
        <w:rPr>
          <w:sz w:val="28"/>
          <w:szCs w:val="28"/>
          <w:lang w:val="nl-NL"/>
        </w:rPr>
        <w:t xml:space="preserve"> - Bảo đảm có hành lang pháp lý thống nhất, cụ thể, rút ngắn quy trình quyết định/chấp thuận chủ trương đầu tư đối với các dự án lớn, quan trọng, yếu tố then chốt để thúc đẩy tiến độ.</w:t>
      </w:r>
    </w:p>
    <w:p w14:paraId="1EF590D4" w14:textId="10706AFF" w:rsidR="009C52E5" w:rsidRPr="006D0257" w:rsidRDefault="009C52E5" w:rsidP="009440E3">
      <w:pPr>
        <w:pStyle w:val="Normal1"/>
        <w:spacing w:before="60"/>
        <w:ind w:firstLine="567"/>
        <w:jc w:val="both"/>
        <w:rPr>
          <w:sz w:val="28"/>
          <w:szCs w:val="28"/>
          <w:lang w:val="nl-NL"/>
        </w:rPr>
      </w:pPr>
      <w:r>
        <w:rPr>
          <w:sz w:val="28"/>
          <w:szCs w:val="28"/>
          <w:lang w:val="nl-NL"/>
        </w:rPr>
        <w:t xml:space="preserve"> - Khắc phục bất cập của thủ tục hiện hành vốn kéo dài, nhiều tầng nấc, thiếu cơ chế phối hợp liên ngành.</w:t>
      </w:r>
    </w:p>
    <w:p w14:paraId="24328558" w14:textId="4DC1C93D" w:rsidR="009C52E5" w:rsidRPr="00A116EB" w:rsidRDefault="009C52E5"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nl-NL"/>
        </w:rPr>
        <w:t>- Tăng cường tính chủ động của Thành phố trong thẩm định và quyết định chủ trương đầu tư.</w:t>
      </w:r>
    </w:p>
    <w:p w14:paraId="06CC93D3" w14:textId="5182DBAE" w:rsidR="00402CCF" w:rsidRPr="00402CCF" w:rsidRDefault="00402CCF" w:rsidP="009440E3">
      <w:pPr>
        <w:spacing w:before="60" w:after="0" w:line="240" w:lineRule="auto"/>
        <w:jc w:val="both"/>
        <w:rPr>
          <w:rFonts w:ascii="Times New Roman" w:hAnsi="Times New Roman" w:cs="Times New Roman"/>
          <w:sz w:val="28"/>
          <w:szCs w:val="28"/>
        </w:rPr>
      </w:pPr>
      <w:r>
        <w:rPr>
          <w:rFonts w:ascii="Times New Roman" w:hAnsi="Times New Roman" w:cs="Times New Roman"/>
          <w:sz w:val="28"/>
          <w:szCs w:val="28"/>
        </w:rPr>
        <w:t>- Đánh giá sự cần thiết, tính hợp lý, tính hợp pháp và chi phí tuân thủ thủ tục hành chính trong dự thảo văn bản quy phạm pháp luật.</w:t>
      </w:r>
    </w:p>
    <w:p w14:paraId="714FC3EA" w14:textId="77777777" w:rsidR="00402CCF" w:rsidRPr="00402CCF" w:rsidRDefault="00402CCF" w:rsidP="009440E3">
      <w:pPr>
        <w:spacing w:before="60" w:after="0" w:line="240" w:lineRule="auto"/>
        <w:jc w:val="both"/>
        <w:rPr>
          <w:rFonts w:ascii="Times New Roman" w:hAnsi="Times New Roman" w:cs="Times New Roman"/>
          <w:sz w:val="28"/>
          <w:szCs w:val="28"/>
        </w:rPr>
      </w:pPr>
      <w:r>
        <w:rPr>
          <w:rFonts w:ascii="Times New Roman" w:hAnsi="Times New Roman" w:cs="Times New Roman"/>
          <w:i/>
          <w:iCs/>
          <w:sz w:val="28"/>
          <w:szCs w:val="28"/>
        </w:rPr>
        <w:t>(Kèm theo Biểu mẫu đánh giá tác động thủ tục hành chính, Biểu mẫu tính chi phí tuân thủ thủ tục hành chính theo hướng dẫn của Bộ trưởng Bộ Tư pháp).</w:t>
      </w:r>
    </w:p>
    <w:p w14:paraId="10000001" w14:textId="77777777" w:rsidR="00402CCF" w:rsidRDefault="00402CCF"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1.4. Đánh giá tính hợp lý</w:t>
      </w:r>
    </w:p>
    <w:p w14:paraId="10000002" w14:textId="77777777" w:rsidR="00402CCF" w:rsidRDefault="00402CCF"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Các thủ tục hành chính trong dự thảo Nghị quyết được thiết kế hợp lý vì:</w:t>
      </w:r>
    </w:p>
    <w:p w14:paraId="10000003" w14:textId="77777777" w:rsidR="00402CCF" w:rsidRPr="00555AD9" w:rsidRDefault="00402CCF" w:rsidP="009440E3">
      <w:pPr>
        <w:spacing w:before="60" w:after="0" w:line="240" w:lineRule="auto"/>
        <w:ind w:firstLine="567"/>
        <w:jc w:val="both"/>
        <w:rPr>
          <w:rFonts w:ascii="Times New Roman" w:hAnsi="Times New Roman" w:cs="Times New Roman"/>
          <w:spacing w:val="-2"/>
          <w:sz w:val="28"/>
          <w:szCs w:val="28"/>
        </w:rPr>
      </w:pPr>
      <w:r w:rsidRPr="00555AD9">
        <w:rPr>
          <w:rFonts w:ascii="Times New Roman" w:hAnsi="Times New Roman" w:cs="Times New Roman"/>
          <w:spacing w:val="-2"/>
          <w:sz w:val="28"/>
          <w:szCs w:val="28"/>
        </w:rPr>
        <w:t xml:space="preserve"> - Rút ngắn thời hạn xử lý tại từng khâu: lấy ý kiến các cơ quan trong 02-03 ngày làm việc; thẩm định dự án nhóm B, C trong thời hạn ngắn; Chủ tịch UBND Thành phố quyết định/chấp thuận trong 02 ngày làm việc kể từ khi nhận đủ hồ sơ và báo cáo thẩm định. Trường hợp cơ quan được lấy ý kiến không trả lời đúng hạn, coi như đồng ý và chịu trách nhiệm về nội dung thuộc phạm vi quản lý của mình.</w:t>
      </w:r>
    </w:p>
    <w:p w14:paraId="10000004"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Quy định rõ đầu mối tiếp nhận và thẩm định: Sở Tài chính là cơ quan thường trực thẩm định đối với dự án ngoài khu công nghiệp, khu công nghệ cao; </w:t>
      </w:r>
      <w:r>
        <w:rPr>
          <w:rFonts w:ascii="Times New Roman" w:hAnsi="Times New Roman" w:cs="Times New Roman"/>
          <w:sz w:val="28"/>
          <w:szCs w:val="28"/>
        </w:rPr>
        <w:lastRenderedPageBreak/>
        <w:t>Ban Quản lý các Khu công nghệ cao và Khu công nghiệp thành phố Hà Nội tiếp nhận hồ sơ dự án trong các khu này. Phân định rõ ràng, tránh chồng chéo, phân tán trách nhiệm giữa các cơ quan.</w:t>
      </w:r>
    </w:p>
    <w:p w14:paraId="10000005"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Tăng trách nhiệm cá nhân và tổ chức: Quy định thời hạn trả lời cụ thể cho từng sở, ngành; trường hợp không trả lời đúng hạn phải chịu trách nhiệm về nội dung thuộc phạm vi quản lý; thành viên Hội đồng thẩm định phải lập văn bản tham gia ý kiến và chịu trách nhiệm về kết quả thẩm định các nội dung thuộc phạm vi của mình.</w:t>
      </w:r>
    </w:p>
    <w:p w14:paraId="10000006"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Cho phép áp dụng quy trình đẩy nhanh đối với các dự án cấp bách, quan trọng theo chỉ đạo của Chủ tịch UBND Thành phố: đơn vị chủ trì thẩm định quyết định thời gian tổ chức thẩm định phù hợp, đảm bảo vừa đảm bảo chất lượng vừa đáp ứng tiến độ theo yêu cầu chính trị.</w:t>
      </w:r>
    </w:p>
    <w:p w14:paraId="10000007"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Đa dạng cách thức thực hiện: cho phép nộp hồ sơ trực tiếp, qua bưu chính và trực tuyến; nhận kết quả bằng nhiều hình thức, giảm thời gian và chi phí đi lại cho nhà đầu tư và tổ chức chuẩn bị đầu tư, phù hợp với mục tiêu cải cách thủ tục hành chính và chuyển đổi số của Thành phố.</w:t>
      </w:r>
    </w:p>
    <w:p w14:paraId="10000008"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Thành phần hồ sơ được quy định cụ thể, rõ ràng theo từng loại dự án (đầu tư công nhóm A, B, C; PPP; dự án theo Luật Đầu tư; dự án thu hút nhà đầu tư chiến lược), không yêu cầu giấy tờ trùng lặp hoặc ngoài phạm vi cần thiết, tạo thuận lợi tối đa cho tổ chức, cá nhân trong việc chuẩn bị hồ sơ.</w:t>
      </w:r>
    </w:p>
    <w:p w14:paraId="10000009" w14:textId="77777777" w:rsidR="00402CCF" w:rsidRDefault="00402CCF"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1.5. Đánh giá tính hợp pháp</w:t>
      </w:r>
    </w:p>
    <w:p w14:paraId="1000000A"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Các thủ tục hành chính phù hợp với: Luật Tổ chức chính quyền địa phương số 72/2025/QH15; Luật Ban hành văn bản quy phạm pháp luật số 64/2025/QH15 được sửa đổi, bổ sung bởi Luật số 87/2025/QH15; Luật Thủ đô số 02/2026/QH16, đặc biệt là điểm a, b, d khoản 5 Điều 22 giao HĐND Thành phố quy định chi tiết trình tự, thủ tục quyết định, chấp thuận chủ trương đầu tư và các nội dung liên quan.</w:t>
      </w:r>
    </w:p>
    <w:p w14:paraId="1000000B"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Dự thảo được xây dựng trong phạm vi thẩm quyền của HĐND Thành phố, đúng theo căn cứ pháp lý là Luật Đầu tư công số 58/2024/QH15, Luật Đầu tư theo phương thức đối tác công tư số 64/2020/QH14 (được sửa đổi, bổ sung), Luật Đầu tư số 143/2025/QH15 và Luật Thủ đô số 02/2026/QH16.</w:t>
      </w:r>
    </w:p>
    <w:p w14:paraId="1000000C"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Nội dung các thủ tục không mâu thuẫn, chồng chéo với các văn bản pháp luật hiện hành của cơ quan cấp trên; bảo đảm nguyên tắc công khai, minh bạch, kiểm soát chặt chẽ việc sử dụng vốn nhà nước, không làm thất thoát lãng phí nguồn lực và bảo đảm quốc phòng, an ninh theo quy định tại Điều 4 Nghị quyết.</w:t>
      </w:r>
    </w:p>
    <w:p w14:paraId="1000000D" w14:textId="77777777" w:rsidR="00402CCF" w:rsidRDefault="00402CCF"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1.6. Chi phí tuân thủ thủ tục hành chính</w:t>
      </w:r>
    </w:p>
    <w:p w14:paraId="1000000E" w14:textId="77777777" w:rsidR="00402CCF" w:rsidRDefault="00402CCF"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Việc thực hiện các thủ tục hành chính phát sinh một số chi phí tuân thủ, bao gồm:</w:t>
      </w:r>
    </w:p>
    <w:p w14:paraId="1000000F"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Chi phí thời gian của tổ chức, cá nhân trong việc chuẩn bị hồ sơ, văn bản đề nghị, báo cáo đề xuất chủ trương đầu tư.</w:t>
      </w:r>
    </w:p>
    <w:p w14:paraId="20000001"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 Chi phí tư vấn kỹ thuật, lập báo cáo nghiên cứu tiền khả thi, báo cáo đề xuất chủ trương đầu tư và các tài liệu kèm theo theo từng loại hình dự án (đầu tư công, PPP, dự án theo Luật Đầu tư).</w:t>
      </w:r>
    </w:p>
    <w:p w14:paraId="20000002"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Chi phí sao chụp, số hóa tài liệu khi nộp hồ sơ; tuy nhiên chi phí này được giảm đáng kể nhờ dự thảo cho phép nộp hồ sơ điện tử kèm bản giấy, hạn chế yêu cầu công chứng, chứng thực không cần thiết.</w:t>
      </w:r>
    </w:p>
    <w:p w14:paraId="20000003"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Chi phí phối hợp, giao dịch giữa các cơ quan trong quá trình thẩm định được giảm thiểu nhờ cơ chế thống nhất đầu mối tại Sở Tài chính hoặc Ban Quản lý các Khu công nghệ cao và Khu công nghiệp thành phố Hà Nội.</w:t>
      </w:r>
    </w:p>
    <w:p w14:paraId="20000004" w14:textId="77777777" w:rsidR="00402CCF" w:rsidRDefault="00402CCF"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Tổng thể, chi phí tuân thủ thủ tục hành chính theo dự thảo Nghị quyết thấp hơn so với quy trình hiện hành nhờ: rút ngắn thời gian xử lý; tinh giản đầu mối thẩm định; cho phép nộp hồ sơ điện tử; quy trình minh bạch, hạn chế phát sinh chi phí không chính thức. Đây là kết quả phù hợp với mục tiêu cải cách thủ tục hành chính và nâng cao năng lực cạnh tranh trong thu hút đầu tư của Thủ đô.</w:t>
      </w:r>
    </w:p>
    <w:p w14:paraId="1C1BE60A" w14:textId="77777777" w:rsidR="00402CCF" w:rsidRP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2. Việc phân quyền, phân cấp (nếu trong dự thảo văn bản có quy định về phân quyền, phân cấp)</w:t>
      </w:r>
    </w:p>
    <w:p w14:paraId="7554D530" w14:textId="77777777" w:rsidR="00402CCF" w:rsidRP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Sự cần thiết của việc phân quyền, phân cấp, thẩm quyền phân cấp, nội dung phân quyền, phân cấp; điều kiện bảo đảm để thực hiện nội dung được phân quyền, phân cấp; việc thực hiện kiểm tra, giám sát sau khi phân quyền, phân cấp.</w:t>
      </w:r>
    </w:p>
    <w:p w14:paraId="10000010" w14:textId="77777777" w:rsidR="00402CCF" w:rsidRDefault="00402CCF"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2.1. Dự thảo Nghị quyết quy định các nội dung phân quyền, phân cấp chủ yếu sau:</w:t>
      </w:r>
    </w:p>
    <w:p w14:paraId="10000011" w14:textId="51FA5BCF"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 Về tổ chức lập và thẩm định chủ trương đầu tư: Chủ tịch UBND Thành phố giao cơ quan chuyên môn, đơn vị trực thuộc hoặc UBND cấp xã thực hiện nhiệm vụ chuẩn bị đầu tư. Sở Tài chính là cơ quan thường trực thẩm định đối với dự án ngoài khu công nghiệp, khu công nghệ cao, khu kinh tế; Ban Quản lý các Khu công nghệ cao và Khu công nghiệp thành phố Hà Nội tiếp nhận và chủ trì thẩm định</w:t>
      </w:r>
      <w:r w:rsidR="00600EC9">
        <w:rPr>
          <w:rFonts w:ascii="Times New Roman" w:hAnsi="Times New Roman" w:cs="Times New Roman"/>
          <w:sz w:val="28"/>
          <w:szCs w:val="28"/>
        </w:rPr>
        <w:t xml:space="preserve"> dự án hạ tầng kỹ thuật khu công nghệ cao</w:t>
      </w:r>
      <w:r>
        <w:rPr>
          <w:rFonts w:ascii="Times New Roman" w:hAnsi="Times New Roman" w:cs="Times New Roman"/>
          <w:sz w:val="28"/>
          <w:szCs w:val="28"/>
        </w:rPr>
        <w:t>. Phân định rõ đầu mối, bảo đảm nhà đầu tư chỉ tiếp xúc với một cơ quan duy nhất trong quá trình xử lý hồ sơ, tránh chồng chéo, phân tán trách nhiệm. Các sở, ngành có trách nhiệm tham gia thẩm định theo phạm vi quản lý chuyên ngành trong thời hạn quy định; quá hạn không trả lời coi như đồng ý và chịu trách nhiệm về nội dung thuộc phạm vi quản lý của mình.</w:t>
      </w:r>
    </w:p>
    <w:p w14:paraId="10000012" w14:textId="23BB1EF8"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b) Về quyết định và chấp thuận chủ trương đầu tư: Đối với dự án đầu tư công, </w:t>
      </w:r>
      <w:r w:rsidR="00CD4DB0">
        <w:rPr>
          <w:rFonts w:ascii="Times New Roman" w:hAnsi="Times New Roman" w:cs="Times New Roman"/>
          <w:sz w:val="28"/>
          <w:szCs w:val="28"/>
        </w:rPr>
        <w:t>Chủ tịch UBND Thành phố</w:t>
      </w:r>
      <w:r>
        <w:rPr>
          <w:rFonts w:ascii="Times New Roman" w:hAnsi="Times New Roman" w:cs="Times New Roman"/>
          <w:sz w:val="28"/>
          <w:szCs w:val="28"/>
        </w:rPr>
        <w:t xml:space="preserve"> quyết định chủ trương đầu tư dự án nhóm B, C; HĐND Thành phố quyết định dự án quan trọng quốc gia và nhóm A - đây là phân cấp mạnh theo tinh thần Luật Thủ đô, trao thẩm quyền toàn diện cho Thành phố, rút ngắn quy trình phê duyệt. Đối với dự án PPP và dự án theo Luật Đầu tư, Chủ tịch UBND Thành phố chấp thuận chủ trương đầu tư, có thể đồng thời chấp thuận nhà đầu tư trong cùng một quyết định, giảm thiểu số lượng thủ tục và thời gian xử lý. Đối với dự án thu hút nhà đầu tư chiến lược, Chủ tịch UBND Thành phố chấp thuận theo điều kiện đặc thù quy định tại Nghị quyết của HĐND Thành phố về nhà đầu tư chiến lược.</w:t>
      </w:r>
    </w:p>
    <w:p w14:paraId="10000013"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c) Về điều chỉnh chủ trương đầu tư: UBND Thành phố hoặc HĐND Thành phố (tùy loại dự án) giải quyết điều chỉnh theo quy trình tương ứng với thủ tục quyết định/chấp thuận ban đầu. Cơ quan tham gia thẩm định điều chỉnh chỉ chịu trách nhiệm về nội dung đề nghị điều chỉnh, không thẩm định lại nội dung đã được phê duyệt trước đó, tiết kiệm thời gian và nguồn lực.</w:t>
      </w:r>
    </w:p>
    <w:p w14:paraId="10000014" w14:textId="77777777" w:rsidR="00402CCF" w:rsidRDefault="00402CCF"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2.2. Điều kiện bảo đảm để thực hiện nội dung phân quyền, phân cấp</w:t>
      </w:r>
    </w:p>
    <w:p w14:paraId="10000015"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 Điều kiện về tổ chức bộ máy: Thành lập Hội đồng thẩm định Thành phố với đầy đủ đại diện các sở, ngành chuyên môn; xác định rõ cơ quan thường trực (Sở Tài chính hoặc Ban Quản lý các Khu công nghệ cao và Khu công nghiệp) để chủ trì thẩm định; quy định trách nhiệm cá nhân của các thành viên Hội đồng thẩm định khi tham gia ý kiến. Chủ tịch Hội đồng thẩm định được quyền mời chuyên gia trong nước hoặc nước ngoài có kinh nghiệm, trình độ chuyên môn phù hợp tham gia thẩm định.</w:t>
      </w:r>
    </w:p>
    <w:p w14:paraId="10000016"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b) Điều kiện về nguồn nhân lực: Đòi hỏi đội ngũ cán bộ có năng lực chuyên môn về thẩm định kinh tế, kỹ thuật, pháp lý, tài chính và môi trường. Cho phép thuê tư vấn thẩm tra hoặc mời chuyên gia bổ sung nguồn lực chuyên sâu khi cần thiết; kinh phí mời chuyên gia bố trí từ nguồn chi của cơ quan thường trực Hội đồng thẩm định theo quy định pháp luật.</w:t>
      </w:r>
    </w:p>
    <w:p w14:paraId="10000017"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c) Điều kiện về hạ tầng số - công nghệ: Triển khai hệ thống tiếp nhận hồ sơ trực tuyến tại Trung tâm phục vụ hành chính công của Thành phố; bảo đảm cơ sở hạ tầng kỹ thuật số để xử lý hồ sơ điện tử và theo dõi tiến độ; tạo điều kiện hình thành cơ sở dữ liệu dùng chung phục vụ thẩm định và giám sát sau phê duyệt.</w:t>
      </w:r>
    </w:p>
    <w:p w14:paraId="10000018"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d) Điều kiện về nguồn lực tài chính: Bố trí kinh phí từ ngân sách địa phương cho hoạt động Hội đồng thẩm định, thuê tư vấn chuyên gia; bảo đảm nguồn lực để vận hành, duy trì hệ thống công nghệ thông tin phục vụ tiếp nhận hồ sơ và giám sát thực hiện sau phân cấp.</w:t>
      </w:r>
    </w:p>
    <w:p w14:paraId="10000019" w14:textId="77777777" w:rsidR="00402CCF" w:rsidRDefault="00402CCF" w:rsidP="009440E3">
      <w:pPr>
        <w:spacing w:before="6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2.3. Kiểm tra, giám sát sau phân quyền, phân cấp</w:t>
      </w:r>
    </w:p>
    <w:p w14:paraId="1000001A"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 Giám sát của HĐND Thành phố: HĐND và các Ban của HĐND thực hiện giám sát toàn bộ quá trình thực hiện Nghị quyết theo quy định tại Điều 27. Tổ đại biểu và đại biểu HĐND giám sát theo chuyên đề hoặc thường xuyên đối với việc triển khai các thủ tục hành chính và quyết định chủ trương đầu tư trên địa bàn Thành phố.</w:t>
      </w:r>
    </w:p>
    <w:p w14:paraId="1000001B"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b) Giám sát của UBMTTQ và tổ chức chính trị - xã hội: UBMTTQ Việt Nam các cấp thành phố Hà Nội tham gia giám sát việc thực hiện Nghị quyết, bảo đảm tính công khai, minh bạch và bảo vệ quyền, lợi ích hợp pháp của tổ chức, cá nhân trong quá trình quyết định, chấp thuận chủ trương đầu tư.</w:t>
      </w:r>
    </w:p>
    <w:p w14:paraId="1000001C" w14:textId="77777777" w:rsidR="00402CCF" w:rsidRPr="00911612" w:rsidRDefault="00402CCF" w:rsidP="009440E3">
      <w:pPr>
        <w:spacing w:before="60" w:after="0" w:line="240" w:lineRule="auto"/>
        <w:ind w:firstLine="567"/>
        <w:jc w:val="both"/>
        <w:rPr>
          <w:rFonts w:ascii="Times New Roman" w:hAnsi="Times New Roman" w:cs="Times New Roman"/>
          <w:spacing w:val="-2"/>
          <w:sz w:val="28"/>
          <w:szCs w:val="28"/>
        </w:rPr>
      </w:pPr>
      <w:r w:rsidRPr="00911612">
        <w:rPr>
          <w:rFonts w:ascii="Times New Roman" w:hAnsi="Times New Roman" w:cs="Times New Roman"/>
          <w:spacing w:val="-2"/>
          <w:sz w:val="28"/>
          <w:szCs w:val="28"/>
        </w:rPr>
        <w:t xml:space="preserve">c) Giám sát nội bộ hành chính và hậu kiểm: UBND Thành phố kiểm tra việc thực hiện quy trình lập, thẩm định, quyết định chủ trương đầu tư của các sở, ngành, đơn vị. Hội đồng thẩm định chịu trách nhiệm về kết quả thẩm định; từng thành viên chịu trách nhiệm về nội dung thuộc phạm vi quản lý của mình. Cơ chế hậu kiểm đối với các trường hợp điều chỉnh chủ trương đầu tư bảo đảm không để xảy ra lạm quyền, vi phạm quy định về kiểm soát vốn nhà nước, phòng chống tham nhũng và </w:t>
      </w:r>
      <w:r w:rsidRPr="00911612">
        <w:rPr>
          <w:rFonts w:ascii="Times New Roman" w:hAnsi="Times New Roman" w:cs="Times New Roman"/>
          <w:spacing w:val="-2"/>
          <w:sz w:val="28"/>
          <w:szCs w:val="28"/>
        </w:rPr>
        <w:lastRenderedPageBreak/>
        <w:t>tiêu cực. Cơ chế kiểm tra - giám sát được thiết kế để bảo đảm phân cấp nhưng không buông lỏng quản lý, đáp ứng yêu cầu minh bạch và trách nhiệm giải trình.</w:t>
      </w:r>
    </w:p>
    <w:p w14:paraId="52837E2F" w14:textId="77777777" w:rsidR="00402CCF" w:rsidRPr="00402CCF" w:rsidRDefault="00402CCF" w:rsidP="009440E3">
      <w:pPr>
        <w:spacing w:before="60"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3. Việc ứng dụng, thúc đẩy phát triển khoa học, công nghệ, đổi mới sáng tạo và chuyển đổi số (nếu trong dự thảo văn bản có quy định về việc ứng dụng, thúc đẩy phát triển khoa học, công nghệ, đổi mới sáng tạo và chuyển đổi số)</w:t>
      </w:r>
    </w:p>
    <w:p w14:paraId="1000001D"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Dự thảo Nghị quyết thể hiện rõ định hướng thúc đẩy chuyển đổi số trong hoạt động hành chính công: quy định bắt buộc nộp hồ sơ điện tử kèm bản giấy; cho phép nhà đầu tư lựa chọn hình thức nộp hồ sơ trực tiếp, qua bưu chính hoặc trực tuyến; nhận kết quả bằng các phương thức tương ứng. Điều này giảm thiểu chi phí đi lại và thời gian giao dịch, phù hợp định hướng xây dựng chính quyền điện tử của Thành phố.</w:t>
      </w:r>
    </w:p>
    <w:p w14:paraId="1000001E"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Cơ chế đặt thời hạn rõ ràng cho từng bước thẩm định kết hợp với quy định hệ quả pháp lý khi cơ quan không trả lời đúng hạn tạo áp lực tích cực để các sở, ngành đẩy mạnh ứng dụng công nghệ thông tin trong xử lý hồ sơ, góp phần nâng cao hiệu quả phối hợp liên ngành theo hướng điện tử hóa.</w:t>
      </w:r>
    </w:p>
    <w:p w14:paraId="1000001F"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Yêu cầu về hạ tầng số: Triển khai Trung tâm phục vụ hành chính công của Thành phố làm đầu mối tiếp nhận hồ sơ trực tuyến; xây dựng cơ sở dữ liệu dùng chung về dự án đầu tư trên địa bàn để phục vụ thẩm định và theo dõi thực hiện; bảo đảm an toàn, an ninh thông tin cho hệ thống xử lý hồ sơ điện tử.</w:t>
      </w:r>
    </w:p>
    <w:p w14:paraId="10000020"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Dự thảo không chứa quy định trực tiếp về ứng dụng khoa học công nghệ vào nội dung thẩm định kỹ thuật của dự án (vì đây là nội dung thuộc các luật chuyên ngành), nhưng tạo khung thể chế thuận lợi để đơn vị chuẩn bị đầu tư, nhà đầu tư và cơ quan thẩm định tiếp cận, sử dụng các công nghệ tiên tiến trong lập và thẩm định hồ sơ dự án, góp phần nâng cao chất lượng và rút ngắn thời gian phê duyệt chủ trương đầu tư.</w:t>
      </w:r>
    </w:p>
    <w:p w14:paraId="198CB2B5" w14:textId="77777777" w:rsidR="00402CCF" w:rsidRPr="00402CCF" w:rsidRDefault="00402CCF" w:rsidP="009440E3">
      <w:pPr>
        <w:spacing w:before="60" w:after="0" w:line="240" w:lineRule="auto"/>
        <w:jc w:val="both"/>
        <w:rPr>
          <w:rFonts w:ascii="Times New Roman" w:hAnsi="Times New Roman" w:cs="Times New Roman"/>
          <w:sz w:val="28"/>
          <w:szCs w:val="28"/>
        </w:rPr>
      </w:pPr>
      <w:r>
        <w:rPr>
          <w:rFonts w:ascii="Times New Roman" w:hAnsi="Times New Roman" w:cs="Times New Roman"/>
          <w:sz w:val="28"/>
          <w:szCs w:val="28"/>
        </w:rPr>
        <w:t>Đánh giá các quy định trong dự thảo văn bản tạo thuận lợi cho việc ứng dụng, thúc đẩy phát triển khoa học, công nghệ, đổi mới sáng tạo và chuyển đổi số. Yêu cầu về thể chế, hạ tầng, nhân lực, đổi mới sáng tạo, an toàn thông tin; nội dung ứng dụng, thúc đẩy, phát triển khoa học công nghệ, đổi mới sáng tạo và chuyển đổi số; các yếu tố ảnh hưởng đến việc triển khai thi hành các quy định về khoa học công nghệ, đổi mới sáng tạo và chuyển đổi số trong thực tiễn; cơ chế phối hợp và tổ chức thực hiện; nguồn lực thực hiện.</w:t>
      </w:r>
    </w:p>
    <w:p w14:paraId="45B0973B" w14:textId="77777777" w:rsidR="00402CCF" w:rsidRPr="00402CCF" w:rsidRDefault="00402CCF" w:rsidP="009440E3">
      <w:pPr>
        <w:spacing w:before="60"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4. Việc bảo đảm bình đẳng giới (nếu trong dự thảo văn bản có quy định về bình đẳng giới)</w:t>
      </w:r>
    </w:p>
    <w:p w14:paraId="10000021"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Dự thảo Nghị quyết điều chỉnh quy trình hành chính về đầu tư, không có nội dung phân biệt đối xử trực tiếp dựa trên giới tính. Các thủ tục hành chính được thiết kế áp dụng thống nhất cho mọi tổ chức, cá nhân, nhà đầu tư không phân biệt giới tính, bảo đảm quyền bình đẳng tiếp cận thủ tục hành chính theo quy định tại Điều 2 Nghị quyết (đối tượng áp dụng) và các điều khoản về hồ sơ, điều kiện, trình tự thủ tục.</w:t>
      </w:r>
    </w:p>
    <w:p w14:paraId="10000022"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Không có quy định nào trong dự thảo tạo ra rào cản hoặc bất lợi cho phụ nữ trong việc tiếp cận, thực hiện các thủ tục hành chính về đầu tư. Doanh nghiệp </w:t>
      </w:r>
      <w:r>
        <w:rPr>
          <w:rFonts w:ascii="Times New Roman" w:hAnsi="Times New Roman" w:cs="Times New Roman"/>
          <w:sz w:val="28"/>
          <w:szCs w:val="28"/>
        </w:rPr>
        <w:lastRenderedPageBreak/>
        <w:t>do phụ nữ lãnh đạo hoặc nhà đầu tư là nữ được hưởng đầy đủ các quyền và điều kiện như các chủ thể khác khi thực hiện thủ tục quyết định, chấp thuận chủ trương đầu tư trên địa bàn Thành phố.</w:t>
      </w:r>
    </w:p>
    <w:p w14:paraId="10000023" w14:textId="77777777" w:rsidR="00402CCF" w:rsidRDefault="00402CCF" w:rsidP="009440E3">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Dự thảo phù hợp với yêu cầu bảo đảm bình đẳng giới theo quy định tại Luật Bình đẳng giới năm 2006 và các điều ước quốc tế mà Việt Nam là thành viên. Sở Tài chính đánh giá dự thảo Nghị quyết không tác động tiêu cực đến bình đẳng giới và không cần bổ sung quy định riêng về bình đẳng giới trong nội dung Nghị quyết.</w:t>
      </w:r>
    </w:p>
    <w:p w14:paraId="50B135E8" w14:textId="38F78525" w:rsidR="00402CCF" w:rsidRPr="00402CCF" w:rsidRDefault="00402CCF" w:rsidP="009440E3">
      <w:pPr>
        <w:spacing w:before="60"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III. PHỤ LỤC</w:t>
      </w:r>
    </w:p>
    <w:p w14:paraId="3A5CE85F" w14:textId="4EB3668A" w:rsidR="006947AD" w:rsidRDefault="00282604" w:rsidP="009440E3">
      <w:pPr>
        <w:spacing w:before="60"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Phụ lục 1. </w:t>
      </w:r>
      <w:r w:rsidRPr="00282604">
        <w:rPr>
          <w:rFonts w:ascii="Times New Roman" w:hAnsi="Times New Roman" w:cs="Times New Roman"/>
          <w:sz w:val="26"/>
          <w:szCs w:val="26"/>
        </w:rPr>
        <w:t>Biểu mẫu đánh giá tác động của thủ tục hành chính được quy định chi tiết hoặc được sửa đổi, bổ sung trong dự án, dự thảo văn bản</w:t>
      </w:r>
      <w:r>
        <w:rPr>
          <w:rFonts w:ascii="Times New Roman" w:hAnsi="Times New Roman" w:cs="Times New Roman"/>
          <w:sz w:val="26"/>
          <w:szCs w:val="26"/>
        </w:rPr>
        <w:t xml:space="preserve"> </w:t>
      </w:r>
      <w:r w:rsidRPr="00282604">
        <w:rPr>
          <w:rFonts w:ascii="Times New Roman" w:hAnsi="Times New Roman" w:cs="Times New Roman"/>
          <w:i/>
          <w:iCs/>
          <w:sz w:val="26"/>
          <w:szCs w:val="26"/>
        </w:rPr>
        <w:t>(Biểu mẫu số 03/ĐGTĐ-QĐCT/SĐBS)</w:t>
      </w:r>
      <w:r>
        <w:rPr>
          <w:rFonts w:ascii="Times New Roman" w:hAnsi="Times New Roman" w:cs="Times New Roman"/>
          <w:sz w:val="26"/>
          <w:szCs w:val="26"/>
        </w:rPr>
        <w:t>;</w:t>
      </w:r>
    </w:p>
    <w:p w14:paraId="557AC7B1" w14:textId="7D58939A" w:rsidR="00282604" w:rsidRPr="00282604" w:rsidRDefault="00282604" w:rsidP="009440E3">
      <w:pPr>
        <w:spacing w:before="60" w:after="0" w:line="240" w:lineRule="auto"/>
        <w:ind w:firstLine="709"/>
        <w:jc w:val="both"/>
        <w:rPr>
          <w:rFonts w:ascii="Times New Roman" w:hAnsi="Times New Roman" w:cs="Times New Roman"/>
          <w:i/>
          <w:iCs/>
          <w:sz w:val="26"/>
          <w:szCs w:val="26"/>
        </w:rPr>
      </w:pPr>
      <w:r>
        <w:rPr>
          <w:rFonts w:ascii="Times New Roman" w:hAnsi="Times New Roman" w:cs="Times New Roman"/>
          <w:sz w:val="26"/>
          <w:szCs w:val="26"/>
        </w:rPr>
        <w:t xml:space="preserve">Phụ lục 2. </w:t>
      </w:r>
      <w:r w:rsidRPr="00282604">
        <w:rPr>
          <w:rFonts w:ascii="Times New Roman" w:hAnsi="Times New Roman" w:cs="Times New Roman"/>
          <w:sz w:val="26"/>
          <w:szCs w:val="26"/>
        </w:rPr>
        <w:t>Chi phí tuân thủ thủ tục hành chính trong dự án, dự thảo văn bản</w:t>
      </w:r>
      <w:r>
        <w:rPr>
          <w:rFonts w:ascii="Times New Roman" w:hAnsi="Times New Roman" w:cs="Times New Roman"/>
          <w:sz w:val="26"/>
          <w:szCs w:val="26"/>
        </w:rPr>
        <w:t xml:space="preserve"> </w:t>
      </w:r>
      <w:r>
        <w:rPr>
          <w:rFonts w:ascii="Times New Roman" w:hAnsi="Times New Roman" w:cs="Times New Roman"/>
          <w:i/>
          <w:iCs/>
          <w:sz w:val="26"/>
          <w:szCs w:val="26"/>
        </w:rPr>
        <w:t>(</w:t>
      </w:r>
      <w:r w:rsidRPr="00282604">
        <w:rPr>
          <w:rFonts w:ascii="Times New Roman" w:hAnsi="Times New Roman" w:cs="Times New Roman"/>
          <w:i/>
          <w:iCs/>
          <w:sz w:val="26"/>
          <w:szCs w:val="26"/>
        </w:rPr>
        <w:t>Biểu mẫu số 04/ĐGTĐ-SCM</w:t>
      </w:r>
      <w:r>
        <w:rPr>
          <w:rFonts w:ascii="Times New Roman" w:hAnsi="Times New Roman" w:cs="Times New Roman"/>
          <w:i/>
          <w:iCs/>
          <w:sz w:val="26"/>
          <w:szCs w:val="26"/>
        </w:rPr>
        <w:t>).</w:t>
      </w:r>
      <w:r w:rsidR="00B503CC">
        <w:rPr>
          <w:rFonts w:ascii="Times New Roman" w:hAnsi="Times New Roman" w:cs="Times New Roman"/>
          <w:i/>
          <w:iCs/>
          <w:sz w:val="26"/>
          <w:szCs w:val="26"/>
        </w:rPr>
        <w:t>/.</w:t>
      </w:r>
    </w:p>
    <w:sectPr w:rsidR="00282604" w:rsidRPr="00282604" w:rsidSect="00902A09">
      <w:headerReference w:type="default" r:id="rId6"/>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63486" w14:textId="77777777" w:rsidR="00A16809" w:rsidRDefault="00A16809" w:rsidP="00902A09">
      <w:pPr>
        <w:spacing w:after="0" w:line="240" w:lineRule="auto"/>
      </w:pPr>
      <w:r>
        <w:separator/>
      </w:r>
    </w:p>
  </w:endnote>
  <w:endnote w:type="continuationSeparator" w:id="0">
    <w:p w14:paraId="03A3F0FF" w14:textId="77777777" w:rsidR="00A16809" w:rsidRDefault="00A16809" w:rsidP="00902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922E5" w14:textId="77777777" w:rsidR="00A16809" w:rsidRDefault="00A16809" w:rsidP="00902A09">
      <w:pPr>
        <w:spacing w:after="0" w:line="240" w:lineRule="auto"/>
      </w:pPr>
      <w:r>
        <w:separator/>
      </w:r>
    </w:p>
  </w:footnote>
  <w:footnote w:type="continuationSeparator" w:id="0">
    <w:p w14:paraId="7A75AB9E" w14:textId="77777777" w:rsidR="00A16809" w:rsidRDefault="00A16809" w:rsidP="00902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645885"/>
      <w:docPartObj>
        <w:docPartGallery w:val="Page Numbers (Top of Page)"/>
        <w:docPartUnique/>
      </w:docPartObj>
    </w:sdtPr>
    <w:sdtEndPr>
      <w:rPr>
        <w:rFonts w:ascii="Times New Roman" w:hAnsi="Times New Roman" w:cs="Times New Roman"/>
        <w:noProof/>
        <w:sz w:val="24"/>
        <w:szCs w:val="24"/>
      </w:rPr>
    </w:sdtEndPr>
    <w:sdtContent>
      <w:p w14:paraId="1D608986" w14:textId="774A30C7" w:rsidR="00902A09" w:rsidRPr="00902A09" w:rsidRDefault="00902A09">
        <w:pPr>
          <w:pStyle w:val="Header"/>
          <w:jc w:val="center"/>
          <w:rPr>
            <w:rFonts w:ascii="Times New Roman" w:hAnsi="Times New Roman" w:cs="Times New Roman"/>
            <w:sz w:val="24"/>
            <w:szCs w:val="24"/>
          </w:rPr>
        </w:pPr>
        <w:r w:rsidRPr="00902A09">
          <w:rPr>
            <w:rFonts w:ascii="Times New Roman" w:hAnsi="Times New Roman" w:cs="Times New Roman"/>
            <w:sz w:val="24"/>
            <w:szCs w:val="24"/>
          </w:rPr>
          <w:fldChar w:fldCharType="begin"/>
        </w:r>
        <w:r w:rsidRPr="00902A09">
          <w:rPr>
            <w:rFonts w:ascii="Times New Roman" w:hAnsi="Times New Roman" w:cs="Times New Roman"/>
            <w:sz w:val="24"/>
            <w:szCs w:val="24"/>
          </w:rPr>
          <w:instrText xml:space="preserve"> PAGE   \* MERGEFORMAT </w:instrText>
        </w:r>
        <w:r w:rsidRPr="00902A09">
          <w:rPr>
            <w:rFonts w:ascii="Times New Roman" w:hAnsi="Times New Roman" w:cs="Times New Roman"/>
            <w:sz w:val="24"/>
            <w:szCs w:val="24"/>
          </w:rPr>
          <w:fldChar w:fldCharType="separate"/>
        </w:r>
        <w:r w:rsidR="005F03E3">
          <w:rPr>
            <w:rFonts w:ascii="Times New Roman" w:hAnsi="Times New Roman" w:cs="Times New Roman"/>
            <w:noProof/>
            <w:sz w:val="24"/>
            <w:szCs w:val="24"/>
          </w:rPr>
          <w:t>8</w:t>
        </w:r>
        <w:r w:rsidRPr="00902A09">
          <w:rPr>
            <w:rFonts w:ascii="Times New Roman" w:hAnsi="Times New Roman" w:cs="Times New Roman"/>
            <w:noProof/>
            <w:sz w:val="24"/>
            <w:szCs w:val="24"/>
          </w:rPr>
          <w:fldChar w:fldCharType="end"/>
        </w:r>
      </w:p>
    </w:sdtContent>
  </w:sdt>
  <w:p w14:paraId="2C1FD5D0" w14:textId="77777777" w:rsidR="00902A09" w:rsidRDefault="00902A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CCF"/>
    <w:rsid w:val="000A0885"/>
    <w:rsid w:val="00127A71"/>
    <w:rsid w:val="002505F7"/>
    <w:rsid w:val="00282604"/>
    <w:rsid w:val="002B363B"/>
    <w:rsid w:val="003D016C"/>
    <w:rsid w:val="00402CCF"/>
    <w:rsid w:val="004D788C"/>
    <w:rsid w:val="00555AD9"/>
    <w:rsid w:val="005F03E3"/>
    <w:rsid w:val="00600EC9"/>
    <w:rsid w:val="006947AD"/>
    <w:rsid w:val="006F0050"/>
    <w:rsid w:val="00730BF5"/>
    <w:rsid w:val="008C1B32"/>
    <w:rsid w:val="00902A09"/>
    <w:rsid w:val="00911612"/>
    <w:rsid w:val="009440E3"/>
    <w:rsid w:val="009C473F"/>
    <w:rsid w:val="009C52E5"/>
    <w:rsid w:val="00A116EB"/>
    <w:rsid w:val="00A16809"/>
    <w:rsid w:val="00A25851"/>
    <w:rsid w:val="00A513DF"/>
    <w:rsid w:val="00B503CC"/>
    <w:rsid w:val="00BB3F63"/>
    <w:rsid w:val="00BF153B"/>
    <w:rsid w:val="00CD4DB0"/>
    <w:rsid w:val="00D85D92"/>
    <w:rsid w:val="00E23914"/>
    <w:rsid w:val="00EB1B30"/>
    <w:rsid w:val="00F11D44"/>
    <w:rsid w:val="00FA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67E4"/>
  <w15:chartTrackingRefBased/>
  <w15:docId w15:val="{01F2DE2D-297C-4246-B871-BD9D92CF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127A7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2604"/>
    <w:pPr>
      <w:ind w:left="720"/>
      <w:contextualSpacing/>
    </w:pPr>
  </w:style>
  <w:style w:type="paragraph" w:styleId="Header">
    <w:name w:val="header"/>
    <w:basedOn w:val="Normal"/>
    <w:link w:val="HeaderChar"/>
    <w:uiPriority w:val="99"/>
    <w:unhideWhenUsed/>
    <w:rsid w:val="00902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A09"/>
  </w:style>
  <w:style w:type="paragraph" w:styleId="Footer">
    <w:name w:val="footer"/>
    <w:basedOn w:val="Normal"/>
    <w:link w:val="FooterChar"/>
    <w:uiPriority w:val="99"/>
    <w:unhideWhenUsed/>
    <w:rsid w:val="00902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567993">
      <w:bodyDiv w:val="1"/>
      <w:marLeft w:val="0"/>
      <w:marRight w:val="0"/>
      <w:marTop w:val="0"/>
      <w:marBottom w:val="0"/>
      <w:divBdr>
        <w:top w:val="none" w:sz="0" w:space="0" w:color="auto"/>
        <w:left w:val="none" w:sz="0" w:space="0" w:color="auto"/>
        <w:bottom w:val="none" w:sz="0" w:space="0" w:color="auto"/>
        <w:right w:val="none" w:sz="0" w:space="0" w:color="auto"/>
      </w:divBdr>
    </w:div>
    <w:div w:id="895972637">
      <w:bodyDiv w:val="1"/>
      <w:marLeft w:val="0"/>
      <w:marRight w:val="0"/>
      <w:marTop w:val="0"/>
      <w:marBottom w:val="0"/>
      <w:divBdr>
        <w:top w:val="none" w:sz="0" w:space="0" w:color="auto"/>
        <w:left w:val="none" w:sz="0" w:space="0" w:color="auto"/>
        <w:bottom w:val="none" w:sz="0" w:space="0" w:color="auto"/>
        <w:right w:val="none" w:sz="0" w:space="0" w:color="auto"/>
      </w:divBdr>
    </w:div>
    <w:div w:id="152509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2930</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Nguyen Huy</dc:creator>
  <cp:keywords/>
  <dc:description/>
  <cp:lastModifiedBy>NEW</cp:lastModifiedBy>
  <cp:revision>2</cp:revision>
  <dcterms:created xsi:type="dcterms:W3CDTF">2026-05-28T03:20:00Z</dcterms:created>
  <dcterms:modified xsi:type="dcterms:W3CDTF">2026-05-28T03:20:00Z</dcterms:modified>
</cp:coreProperties>
</file>